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07" w:rsidRPr="00F16C44" w:rsidRDefault="003C4907" w:rsidP="003C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44">
        <w:rPr>
          <w:rFonts w:ascii="Times New Roman" w:hAnsi="Times New Roman" w:cs="Times New Roman"/>
          <w:b/>
          <w:sz w:val="24"/>
          <w:szCs w:val="24"/>
        </w:rPr>
        <w:t>Основные показатели прогноза социально-экономического развития</w:t>
      </w:r>
    </w:p>
    <w:p w:rsidR="003C4907" w:rsidRPr="00F16C44" w:rsidRDefault="003C4907" w:rsidP="003C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44">
        <w:rPr>
          <w:rFonts w:ascii="Times New Roman" w:hAnsi="Times New Roman" w:cs="Times New Roman"/>
          <w:b/>
          <w:sz w:val="24"/>
          <w:szCs w:val="24"/>
        </w:rPr>
        <w:t>МО «Новоржевский муниципальный округ Псковской области» на среднесрочный период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1418"/>
        <w:gridCol w:w="1417"/>
        <w:gridCol w:w="1134"/>
        <w:gridCol w:w="851"/>
        <w:gridCol w:w="850"/>
        <w:gridCol w:w="851"/>
      </w:tblGrid>
      <w:tr w:rsidR="003C4907" w:rsidRPr="00F16C44" w:rsidTr="00E230CA">
        <w:trPr>
          <w:trHeight w:val="849"/>
        </w:trPr>
        <w:tc>
          <w:tcPr>
            <w:tcW w:w="3039" w:type="dxa"/>
            <w:vMerge w:val="restart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2552" w:type="dxa"/>
            <w:gridSpan w:val="3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3C4907" w:rsidRPr="00F16C44" w:rsidTr="00E230CA">
        <w:tc>
          <w:tcPr>
            <w:tcW w:w="3039" w:type="dxa"/>
            <w:vMerge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2024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3C4907" w:rsidRPr="00F16C44" w:rsidTr="00E230CA">
        <w:tc>
          <w:tcPr>
            <w:tcW w:w="3039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Оборот организаций (без субъектов малого предпринимательства)</w:t>
            </w:r>
          </w:p>
        </w:tc>
        <w:tc>
          <w:tcPr>
            <w:tcW w:w="1418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6731</w:t>
            </w: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6602,3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6866,4</w:t>
            </w:r>
          </w:p>
        </w:tc>
        <w:tc>
          <w:tcPr>
            <w:tcW w:w="850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7141,1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7426,7</w:t>
            </w:r>
          </w:p>
        </w:tc>
      </w:tr>
      <w:tr w:rsidR="003C4907" w:rsidRPr="00F16C44" w:rsidTr="00E230CA">
        <w:tc>
          <w:tcPr>
            <w:tcW w:w="3039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Оборот розничной торговли</w:t>
            </w:r>
          </w:p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(в ценах соответствующих лет)</w:t>
            </w:r>
          </w:p>
        </w:tc>
        <w:tc>
          <w:tcPr>
            <w:tcW w:w="1418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1026,4</w:t>
            </w: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1037,9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1079,4</w:t>
            </w:r>
          </w:p>
        </w:tc>
        <w:tc>
          <w:tcPr>
            <w:tcW w:w="850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1122,6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1167,5</w:t>
            </w:r>
          </w:p>
        </w:tc>
      </w:tr>
      <w:tr w:rsidR="003C4907" w:rsidRPr="00F16C44" w:rsidTr="00E230CA">
        <w:tc>
          <w:tcPr>
            <w:tcW w:w="3039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Индекс-дефлятор оборота</w:t>
            </w:r>
          </w:p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розничной торговли (по РФ)</w:t>
            </w:r>
          </w:p>
        </w:tc>
        <w:tc>
          <w:tcPr>
            <w:tcW w:w="1418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в % к</w:t>
            </w:r>
          </w:p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предыдущему году</w:t>
            </w: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bCs/>
                <w:sz w:val="18"/>
                <w:szCs w:val="18"/>
              </w:rPr>
              <w:t>104,6</w:t>
            </w: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bCs/>
                <w:sz w:val="18"/>
                <w:szCs w:val="18"/>
              </w:rPr>
              <w:t>107,3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bCs/>
                <w:sz w:val="18"/>
                <w:szCs w:val="18"/>
              </w:rPr>
              <w:t>104,3</w:t>
            </w:r>
          </w:p>
        </w:tc>
        <w:tc>
          <w:tcPr>
            <w:tcW w:w="850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bCs/>
                <w:sz w:val="18"/>
                <w:szCs w:val="18"/>
              </w:rPr>
              <w:t>104,2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bCs/>
                <w:sz w:val="18"/>
                <w:szCs w:val="18"/>
              </w:rPr>
              <w:t>104,1</w:t>
            </w:r>
          </w:p>
        </w:tc>
      </w:tr>
      <w:tr w:rsidR="003C4907" w:rsidRPr="00F16C44" w:rsidTr="00E230CA">
        <w:tc>
          <w:tcPr>
            <w:tcW w:w="3039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Производство в хозяйствах района:</w:t>
            </w:r>
          </w:p>
        </w:tc>
        <w:tc>
          <w:tcPr>
            <w:tcW w:w="1418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907" w:rsidRPr="00F16C44" w:rsidTr="00E230CA">
        <w:tc>
          <w:tcPr>
            <w:tcW w:w="3039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мясо (в живом весе)</w:t>
            </w:r>
          </w:p>
        </w:tc>
        <w:tc>
          <w:tcPr>
            <w:tcW w:w="1418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850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</w:tr>
      <w:tr w:rsidR="003C4907" w:rsidRPr="00F16C44" w:rsidTr="00E230CA">
        <w:tc>
          <w:tcPr>
            <w:tcW w:w="3039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418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6136</w:t>
            </w: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5606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5610</w:t>
            </w:r>
          </w:p>
        </w:tc>
        <w:tc>
          <w:tcPr>
            <w:tcW w:w="850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5615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5620</w:t>
            </w:r>
          </w:p>
        </w:tc>
      </w:tr>
      <w:tr w:rsidR="003C4907" w:rsidRPr="00F16C44" w:rsidTr="00E230CA">
        <w:tc>
          <w:tcPr>
            <w:tcW w:w="3039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зерно</w:t>
            </w:r>
          </w:p>
        </w:tc>
        <w:tc>
          <w:tcPr>
            <w:tcW w:w="1418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1678</w:t>
            </w: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1688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1698</w:t>
            </w:r>
          </w:p>
        </w:tc>
        <w:tc>
          <w:tcPr>
            <w:tcW w:w="850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1708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1718</w:t>
            </w:r>
          </w:p>
        </w:tc>
      </w:tr>
      <w:tr w:rsidR="003C4907" w:rsidRPr="00F16C44" w:rsidTr="00E230CA">
        <w:tc>
          <w:tcPr>
            <w:tcW w:w="3039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Посевная площадь сельскохозяйственных культур</w:t>
            </w:r>
          </w:p>
        </w:tc>
        <w:tc>
          <w:tcPr>
            <w:tcW w:w="1418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6666</w:t>
            </w: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6670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6675</w:t>
            </w:r>
          </w:p>
        </w:tc>
        <w:tc>
          <w:tcPr>
            <w:tcW w:w="850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6680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6685</w:t>
            </w:r>
          </w:p>
        </w:tc>
      </w:tr>
      <w:tr w:rsidR="003C4907" w:rsidRPr="00F16C44" w:rsidTr="00E230CA">
        <w:tc>
          <w:tcPr>
            <w:tcW w:w="3039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(без субъектов малого предпринимательства)</w:t>
            </w:r>
          </w:p>
        </w:tc>
        <w:tc>
          <w:tcPr>
            <w:tcW w:w="1418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784</w:t>
            </w:r>
          </w:p>
        </w:tc>
        <w:tc>
          <w:tcPr>
            <w:tcW w:w="850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777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</w:p>
        </w:tc>
      </w:tr>
      <w:tr w:rsidR="003C4907" w:rsidRPr="00F16C44" w:rsidTr="00E230CA">
        <w:tc>
          <w:tcPr>
            <w:tcW w:w="3039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Номинально начисленная среднемесячная заработная плата (по крупным и средним предприятиям)</w:t>
            </w:r>
          </w:p>
        </w:tc>
        <w:tc>
          <w:tcPr>
            <w:tcW w:w="1418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31669,7</w:t>
            </w: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36702,1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38170,2</w:t>
            </w:r>
          </w:p>
        </w:tc>
        <w:tc>
          <w:tcPr>
            <w:tcW w:w="850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39697,0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41284,9</w:t>
            </w:r>
          </w:p>
        </w:tc>
      </w:tr>
      <w:tr w:rsidR="003C4907" w:rsidRPr="00F16C44" w:rsidTr="00E230CA">
        <w:tc>
          <w:tcPr>
            <w:tcW w:w="3039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Среднегодовая численность населения</w:t>
            </w:r>
          </w:p>
        </w:tc>
        <w:tc>
          <w:tcPr>
            <w:tcW w:w="1418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417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7777</w:t>
            </w:r>
          </w:p>
        </w:tc>
        <w:tc>
          <w:tcPr>
            <w:tcW w:w="1134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7700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7623</w:t>
            </w:r>
          </w:p>
        </w:tc>
        <w:tc>
          <w:tcPr>
            <w:tcW w:w="850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7547</w:t>
            </w:r>
          </w:p>
        </w:tc>
        <w:tc>
          <w:tcPr>
            <w:tcW w:w="851" w:type="dxa"/>
          </w:tcPr>
          <w:p w:rsidR="003C4907" w:rsidRPr="00F16C44" w:rsidRDefault="003C4907" w:rsidP="00E2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7472</w:t>
            </w:r>
          </w:p>
        </w:tc>
      </w:tr>
    </w:tbl>
    <w:p w:rsidR="003C4907" w:rsidRPr="004F171B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 к прогнозу</w:t>
      </w:r>
    </w:p>
    <w:p w:rsidR="003C4907" w:rsidRPr="004F171B" w:rsidRDefault="003C4907" w:rsidP="003C4907">
      <w:pPr>
        <w:tabs>
          <w:tab w:val="left" w:pos="9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социально-экономического развития Администрации Новоржевского муниципального округа Псковской области на 2025 год и плановый период 2026-2027 годы.</w:t>
      </w:r>
    </w:p>
    <w:p w:rsidR="003C4907" w:rsidRPr="004F171B" w:rsidRDefault="003C4907" w:rsidP="003C4907">
      <w:pPr>
        <w:tabs>
          <w:tab w:val="left" w:pos="9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Новоржевский муниципальный округ Псковской области разработан  в целях формирования основы для обоснования и разработки проекта бюджета муниципального образования «Новоржевский район» на очередной финансовый 2024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годов в соответствии </w:t>
      </w:r>
      <w:proofErr w:type="gramStart"/>
      <w:r w:rsidRPr="009254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254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ab/>
        <w:t>- Федеральным законом от 28 июня 2014 г. N 172-ФЗ "О стратегическом планировании в Российской Федерации";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925473"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proofErr w:type="gramEnd"/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кодексом Российской Федерации (статьи 169, 173);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ab/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36B5">
        <w:rPr>
          <w:rFonts w:ascii="Times New Roman" w:eastAsia="Times New Roman" w:hAnsi="Times New Roman" w:cs="Times New Roman"/>
          <w:sz w:val="28"/>
          <w:szCs w:val="28"/>
        </w:rPr>
        <w:t>ешением Собрания депутатов Новоржевского муниципального округа от 07 февраля 2024 года № 3 «Положение о бюджетном процессе в муниципальном образовании "Новоржевский муниципальный округ Псковской области"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ab/>
        <w:t>- постановлением Администрации Но</w:t>
      </w:r>
      <w:r>
        <w:rPr>
          <w:rFonts w:ascii="Times New Roman" w:eastAsia="Times New Roman" w:hAnsi="Times New Roman" w:cs="Times New Roman"/>
          <w:sz w:val="28"/>
          <w:szCs w:val="28"/>
        </w:rPr>
        <w:t>воржевского района от 00.00.2024 №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разработки, корректировки, утверждения Прогноза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 муниципального образования «Новоржевский район» на среднесрочный период».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473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«Новоржевский муниципальный округ Псковской области» разработан на основе оценки социально-экономического развития муниципального образования за период анализа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года, оценки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года, тенденций развития экономики и социальной сферы на планируемый очередной финансовый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год и плановый период до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proofErr w:type="gramEnd"/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>Данные по показателям за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 представлены на основании данных 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государственной статистики по Псковской области.  Прогноз социально- экономического развития муниципального образования «Новоржевский муниципальный округ Псковской области»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 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годов рассчитан  исходя из средних показателей аналогичных периодов  за последние три года. 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>Исходя из анализа факторов и проблем экономического развития в предшествующий период с целью улучшения качества жизни населения МО   «Новоржевский муниципальный округ Псковской области», основными задачами органов местного самоуправления в области социально-экономической политики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годы являются: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bCs/>
          <w:sz w:val="28"/>
          <w:szCs w:val="28"/>
        </w:rPr>
        <w:t>- экономическая стабильность и повышение эффективности бюджетных расходов;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bCs/>
          <w:sz w:val="28"/>
          <w:szCs w:val="28"/>
        </w:rPr>
        <w:t>- увеличение налоговых и неналоговых доходов бюджета муниципального образования;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создание условий для комфортного проживания населения путём реализации мероприятий по благоустройству городских и придомовых территорий, ремонта дорог местного значения и объектов жилищно-коммунального хозяйства;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управления муниципальным имуществом и земельными ресурсами;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>- организация культурного досуга и обеспечение населения муниципального образования услугами культуры;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>- повышение уровня физкультурно-оздоровительной и профилактической работы с населением, пропаганда и поддержание здорового образа жизни.</w:t>
      </w:r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473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 разработаны и реализуются   муниципальные  программы  по  наиболее значимым направлениям развития муниципального образования, в том числе на условиях софинансиров</w:t>
      </w:r>
      <w:r>
        <w:rPr>
          <w:rFonts w:ascii="Times New Roman" w:eastAsia="Times New Roman" w:hAnsi="Times New Roman" w:cs="Times New Roman"/>
          <w:sz w:val="28"/>
          <w:szCs w:val="28"/>
        </w:rPr>
        <w:t>ания из бюджетов других уровней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4907" w:rsidRPr="00925473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программы обладают одновременно несколькими ключевыми характеристиками: охватывают все сферы социально-экономического развития муниципального округа, учитывают  цели и задачи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254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</w:p>
    <w:p w:rsidR="003C4907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907" w:rsidRPr="004F171B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Экономическое развитие</w:t>
      </w:r>
    </w:p>
    <w:p w:rsidR="003C4907" w:rsidRPr="004F171B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зарегистрировано 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(организаций) различных форм собственности, в том числе по видам экономической деятельности;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3"/>
        <w:gridCol w:w="1258"/>
      </w:tblGrid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экономической</w:t>
            </w:r>
            <w:proofErr w:type="gramEnd"/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Кол-во.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258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58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4907" w:rsidRPr="004F171B" w:rsidTr="00E230CA">
        <w:tc>
          <w:tcPr>
            <w:tcW w:w="8313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1258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58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химических веществ и химических продуктов</w:t>
            </w:r>
          </w:p>
        </w:tc>
        <w:tc>
          <w:tcPr>
            <w:tcW w:w="1258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компьютеров, электронных и оптических изделий</w:t>
            </w:r>
          </w:p>
        </w:tc>
        <w:tc>
          <w:tcPr>
            <w:tcW w:w="1258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8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258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Обрабатывающие производства 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Торговля оптовая и розничная, ремонт автотранспортных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мотоциклов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Торговля оптовая, кроме оптовой торговли автотранспортными средствами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Транспортировка хранение</w:t>
            </w:r>
          </w:p>
        </w:tc>
        <w:tc>
          <w:tcPr>
            <w:tcW w:w="1258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1258" w:type="dxa"/>
          </w:tcPr>
          <w:p w:rsidR="003C4907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в области, культуры, спорта, организация досуга и развлечений 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в области здравоохранения и </w:t>
            </w:r>
            <w:proofErr w:type="gramStart"/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proofErr w:type="gramEnd"/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по операциям с недвижимым имуществом 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907" w:rsidRPr="004F171B" w:rsidTr="00E230CA">
        <w:tc>
          <w:tcPr>
            <w:tcW w:w="8313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виды деятельности </w:t>
            </w:r>
          </w:p>
        </w:tc>
        <w:tc>
          <w:tcPr>
            <w:tcW w:w="1258" w:type="dxa"/>
          </w:tcPr>
          <w:p w:rsidR="003C4907" w:rsidRPr="004F171B" w:rsidRDefault="003C4907" w:rsidP="00E230CA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C4907" w:rsidRPr="004F171B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На 2023 год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111 индивидуальных предпринимателей.</w:t>
      </w:r>
    </w:p>
    <w:p w:rsidR="003C4907" w:rsidRPr="004F171B" w:rsidRDefault="003C4907" w:rsidP="003C4907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Основными видами предпринимательской деятельности  являются:  оптовая и розничная торговля – 41,1 %, сельское хозяйство — 21,8%, обрабатывающие производства- 11,8 %, транспортировка и хранение – 9,2 %, прочие виды деятельности – 16,1%.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отгруженных товаров собственного производства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за 2023год составил 5743,6  млн. рублей,   или 133,2 % к уровню 2022 года.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За 6 месяцев 2024 года  оборот </w:t>
      </w:r>
      <w:r w:rsidRPr="004F171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 отгруженных товаров собственного производства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Pr="004F17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4631,8</w:t>
      </w:r>
      <w:r w:rsidRPr="004F1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млн. рублей, что в 1,24 раза  меньше  чем за аналогичный период 2022 года.</w:t>
      </w:r>
      <w:proofErr w:type="gramEnd"/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Среднесписочная численность работающих в организациях района, без учета субъектов малого предпринимательства,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 составила 800 человек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, ожидается, что за 2024 год среднесписочная численность работников составит – 792 человек.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36B5">
        <w:rPr>
          <w:rFonts w:ascii="Times New Roman" w:eastAsia="Times New Roman" w:hAnsi="Times New Roman" w:cs="Times New Roman"/>
          <w:sz w:val="28"/>
          <w:szCs w:val="28"/>
        </w:rPr>
        <w:t>Номинально начисленная среднемесячная заработная плата (по крупным и средним предприятиям)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за январь-май 2024 года  в расчете на 1 работника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36702,1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рублей, что увеличилось по сравнению с предыдущим периодом на 6,7 %, по сравнению с 2023годом на 19.8%.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ab/>
        <w:t>Перспективы экономического развития связаны с сохранением достигнутых позиций, повышением конкурентоспособности, расширением ассортимента выпускаемой продукции.</w:t>
      </w:r>
      <w:proofErr w:type="gramEnd"/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Одним из определяющих факторов уровня социально-экономического развития территории является демографическая ситуация. Она у нас продолжает оставаться сложной: смертность превышает рождаемость.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За 6 месяцев 2024 года родилось 12 чел</w:t>
      </w:r>
      <w:r>
        <w:rPr>
          <w:rFonts w:ascii="Times New Roman" w:eastAsia="Times New Roman" w:hAnsi="Times New Roman" w:cs="Times New Roman"/>
          <w:sz w:val="28"/>
          <w:szCs w:val="28"/>
        </w:rPr>
        <w:t>., умерло- 75 чел.,  прибыло в муниципальный округ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125  человека, выбыло 127 человек, миграционный прирост – -2 человек.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является органом местного самоуправления, уполномоченным на осуществление функций по размещению заказов на поставки товаров, выполнение работ, оказание услуг для муниципальных нужд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За 2023 год для  обеспечение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   был проведено 24 электронных  аукционов, 2 процедуры – Запрос котировок  в которых приняли участие 73 поставщика.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По результатам  торгов максимальная цена контрактов была снижена с 22,8 млн. рублей  до 21,9 млн. рублей, то есть сэкономлено  0,9 млн.  рублей бюджетных средств.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Сельское хозяйство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Аграрный  сектор   является  одной  из  о</w:t>
      </w:r>
      <w:r>
        <w:rPr>
          <w:rFonts w:ascii="Times New Roman" w:eastAsia="Times New Roman" w:hAnsi="Times New Roman" w:cs="Times New Roman"/>
          <w:sz w:val="28"/>
          <w:szCs w:val="28"/>
        </w:rPr>
        <w:t>сновных  отраслей  экономики  муниципального образования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.  Основу  сельского  хозяйства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составляет   молочно-мясное  животноводство.  В  общем  объеме  производства  сельскохозяйственной  продукции  животноводство  занимает  75,3 %.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используется  52,4 тыс. га сельскохозяйственных  угодий. Основными  землепользователями  являются  5 сельскохозяйственных  кооперативов, кроме  этого  производством  сельскохозяйственной  продукции  занимаются   4  фермерских  хозяйства,  а  также  3120  личных  подсобных  хозяйства.  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>и   производителями  зерна  в округе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 являются  ООО  «Вехно» 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и  ООО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«СХК  Новоржевский».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Валовой сбор  зерна  в   2024 году  составил   2100 тонн.  Урожайность  зерновых  культур  с  каждого  убранного  гектара  получена  по  10 центнеров.  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 картофеля  и  овощей  сосредоточено  в  хозяйствах  населения.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Молочное  животноводство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основное  направление 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сельскохозяйственной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деятельности,  как  сельхозпредприятий,  так  и  фермерских  хозяйств 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. Выручка  от  реализации  молока  составляет  89%  от  общего   объема  реализации  сельскохозяйственной  продукции.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Общее  поголовье  крупного  рогатого  скота  в  СПК  и  фермерских  хозяйствах  составляет  2215  голов,  из  них  коров  856  голов.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Количество  работающих  в  сельском  хозяйстве  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последние  годы  остается  стабильным  и  составляет  178  человек.  Рост  объемов  производства   и  реализации  продукции  животноводства  позволяет  увеличивать  в  сельхозпредприятиях  </w:t>
      </w:r>
      <w:r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годовой  фонд  заработной  платы.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Расширение  производства  и  увеличение  объемов  производимой  продукции  невозможно  без  модернизации  сельхозпроизводства. Для этого предоставляются субсидии из областного бюджета на поддержку сельскохозяйственного производства по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отдельным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подотраслям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растениеводства и животноводства, на стимулирование увеличения производства картофеля и овощей, на стимулирование развития приоритетных 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агропромышленного комплекса и др. 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Во  </w:t>
      </w:r>
      <w:r>
        <w:rPr>
          <w:rFonts w:ascii="Times New Roman" w:eastAsia="Times New Roman" w:hAnsi="Times New Roman" w:cs="Times New Roman"/>
          <w:sz w:val="28"/>
          <w:szCs w:val="28"/>
        </w:rPr>
        <w:t>всех  категориях    хозяйства  муниципального 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ежегодно  проводится  ремонт  и реконструкция  животноводческих  помещений, приобретается  племенной  скот,  сельскохозяйственная техника.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907" w:rsidRPr="004F171B" w:rsidRDefault="003C4907" w:rsidP="003C4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</w:p>
    <w:p w:rsidR="003C4907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В Новоржевском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округе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5 общеобразовательных учреждений из них: 1 - юридическое лицо и 4 филиала; 2 учреждения дошкольного образования: детский сад «Светлячок» и детский сад «Ленок» (филиалы МОУ «Новоржевская средняя школа»), 4 дошкольных отделения при общеобразовательных школах, 2 учрежден</w:t>
      </w:r>
      <w:r>
        <w:rPr>
          <w:rFonts w:ascii="Times New Roman" w:eastAsia="Times New Roman" w:hAnsi="Times New Roman" w:cs="Times New Roman"/>
          <w:sz w:val="28"/>
          <w:szCs w:val="28"/>
        </w:rPr>
        <w:t>ия дополнительного образования.</w:t>
      </w:r>
    </w:p>
    <w:p w:rsidR="003C4907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общеобразовательных организациях за 2023-2024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год обучались 537 обучающихся, с сентября 2024 года обучается 504 человека в 41 классе-комплекте.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Количество обучающихся с ОВЗ в общеобразовательных организациях - 83 человека, из них 65 с задержкой психического развития, 18 - с умственной отсталостью.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индивидуальной программе на дому в 2024-2025 учебном году в МОУ «Новоржевская средняя школа» обучается 4 ребенка. Всего за 2023-2024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год аттестовано 472 обучающихся, из них на «отлично» учебный год закончили 33, на «хорошо» и «отлично» - 155. Качество 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школам района составило 38%</w:t>
      </w:r>
    </w:p>
    <w:p w:rsidR="003C4907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В учреждениях дошкольного образования воспитывается 230 детей, дополнительным образованием в МБУДО "Новоржевский Дом детского творчества" охвачено 1710 детей, МБУДО "Детская школа искусств им Б.С. Троя</w:t>
      </w:r>
      <w:r>
        <w:rPr>
          <w:rFonts w:ascii="Times New Roman" w:eastAsia="Times New Roman" w:hAnsi="Times New Roman" w:cs="Times New Roman"/>
          <w:sz w:val="28"/>
          <w:szCs w:val="28"/>
        </w:rPr>
        <w:t>новского" охвачено 450 человек.</w:t>
      </w:r>
    </w:p>
    <w:p w:rsidR="003C4907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новная цель системы образования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реализация основных общеобразовательных программ дошкольного, начального общего, основного общего и среднего общего образования и дополнительных общеобразовательных программ, создание оптимальных условий для охраны и укрепления здоровья, физического, интеллектуального и психического развит</w:t>
      </w:r>
      <w:r>
        <w:rPr>
          <w:rFonts w:ascii="Times New Roman" w:eastAsia="Times New Roman" w:hAnsi="Times New Roman" w:cs="Times New Roman"/>
          <w:sz w:val="28"/>
          <w:szCs w:val="28"/>
        </w:rPr>
        <w:t>ия воспитанников и обучающихся.</w:t>
      </w:r>
    </w:p>
    <w:p w:rsidR="003C4907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C4907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- развитие системы оценки качества образования в общеобразовательных учреждениях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профессиональной и общественной экспертизы, самооценки образовательной организации как средства обеспечения качественных и доступных образовательных услуг в соответствии с потребностями населения, обеспечение общественной поддержки осуществляемых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сфере образования;</w:t>
      </w:r>
    </w:p>
    <w:p w:rsidR="003C4907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- повышение доступности и качества общего, дополнительного образования, соответствующих требованиям федеральных государственных образовательных станда</w:t>
      </w:r>
      <w:r>
        <w:rPr>
          <w:rFonts w:ascii="Times New Roman" w:eastAsia="Times New Roman" w:hAnsi="Times New Roman" w:cs="Times New Roman"/>
          <w:sz w:val="28"/>
          <w:szCs w:val="28"/>
        </w:rPr>
        <w:t>ртов;</w:t>
      </w:r>
    </w:p>
    <w:p w:rsidR="003C4907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- обеспечение в системе дошкольного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равных возможностей для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получения качественного образования, удовлетворяющего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lastRenderedPageBreak/>
        <w:t>запросам общества; - создание условий для сохранения и развития системы отдыха и о</w:t>
      </w:r>
      <w:r>
        <w:rPr>
          <w:rFonts w:ascii="Times New Roman" w:eastAsia="Times New Roman" w:hAnsi="Times New Roman" w:cs="Times New Roman"/>
          <w:sz w:val="28"/>
          <w:szCs w:val="28"/>
        </w:rPr>
        <w:t>здоровления детей и подростков;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- достижение средней заработной платы педагогов общего, дошкольного и дополнительного образования до уровня среднемесячной заработной платы в Псковской области.</w:t>
      </w:r>
      <w:proofErr w:type="gramEnd"/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Культура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Сеть </w:t>
      </w: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учреждений культуры Новоржевского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составляет: МБУК «Новоржевский РКСК», в состав которого входят 14 сельских филиалов (7 сельских клубов и 7 сельских библиотек) и МБУ ДО «Новоржевская детская школа искусств им. Б.С.Трояновского». 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2024 году сеть учреждений культуры  не изменилась. 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Основные цели и задачи на 2025 год и плановый период 2026-2027 годов: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организация культурного досуга населения;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предоставление востребованных у населения социально-культурных услуг некоммерческого характера пользователям Дома культуры и сельских клубов;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удовлетворение информационных и культурных потребностей пользователей библиотек;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повышение качества предоставляемых услуг в сфере культуры;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модернизация материально-технической базы учреждений культуры;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совершенствование форм и методов деятельности, внедрение в практику работы новых информационных технологий;</w:t>
      </w:r>
    </w:p>
    <w:p w:rsidR="003C4907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сохранение и развитие творческого потенциала;</w:t>
      </w: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- формирование и развитие творческих способностей детей.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Развитие физической культуры и спорта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Физическая культура и спорт являются одной из сфер, влияющих на  формирование здорового образа жизни населения, в том числе и молодёжи.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территории округа функционирует 23 спортивных сооружений, с учетом объектов городской и рекреационной инфраструктуры приспособленных для занятия физической культурой и спортом с единовременной пропускной способностью 474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Ввод </w:t>
      </w:r>
      <w:r w:rsidRPr="00CF6E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эксплуатацию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Физкультурно-оздоровительного</w:t>
      </w:r>
      <w:r w:rsidRPr="00CF6E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F6E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открытого типа,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что позволило увеличить количество мероприятий до 45  и количество участников до 1350 человек.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Задачи по развитию физической культуры и спорта в </w:t>
      </w: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муниципальном образовании: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пропаганда физической культуры и спорта, здорового образа жизни;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привлечение населения к регулярным занятиям физической культурой и спортом посредством организации и проведения различных спортивных состязаний, вовлечение граждан в число участников Всероссийского физкультурно-спортивного комплекса «Готов к труду и обороне»;</w:t>
      </w:r>
    </w:p>
    <w:p w:rsidR="003C4907" w:rsidRPr="00A36009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выявление лучших спортсменов и команд для участия в областных и Всероссийских соревнованиях;</w:t>
      </w:r>
    </w:p>
    <w:p w:rsidR="003C4907" w:rsidRDefault="003C4907" w:rsidP="003C49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- повышение спортивного мастерства.</w:t>
      </w:r>
    </w:p>
    <w:p w:rsidR="003C4907" w:rsidRPr="004F171B" w:rsidRDefault="003C4907" w:rsidP="003C49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4907" w:rsidRPr="004F171B" w:rsidRDefault="003C4907" w:rsidP="003C4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Связь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Услугами связи муниципальное образование «Новоржевский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 Псковской области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» обеспечивает линейно-технический участок г. Новоржев  межрайонного центра технической эксплуатации телекоммуникаций филиала в Новгородской и Псковской областях ПАО «Ростелеком».</w:t>
      </w:r>
      <w:proofErr w:type="gramEnd"/>
    </w:p>
    <w:p w:rsidR="003C4907" w:rsidRDefault="003C4907" w:rsidP="003C49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Сотовую связь в районе предоставляют 5 операторов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сотовой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связи, это: «МТС», «Мегафон», «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Билайн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>», «Теле 2», «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Yota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3C4907" w:rsidRPr="004F171B" w:rsidRDefault="003C4907" w:rsidP="003C49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907" w:rsidRPr="004F171B" w:rsidRDefault="003C4907" w:rsidP="003C4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осуществляется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жилищное строительство, строительство многоквартирных жилых домов не ведётся.  Строительные организации отсутствуют.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В целях инвестиционной привлекательности, обеспечения устойчивого развития территорий, развития инженерной, транспортной и социальной инфраструктуры и создания условий для увеличения объемов строительства, осуществляется подготовка документов территориального планирования с внесением изменений в градостроительное зонирование сельских поселений.</w:t>
      </w:r>
    </w:p>
    <w:p w:rsidR="003C4907" w:rsidRDefault="003C4907" w:rsidP="003C4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907" w:rsidRPr="004F171B" w:rsidRDefault="003C4907" w:rsidP="003C4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Потребительский рынок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Потребительский рынок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включает торговлю, общественное питание, услуги. </w:t>
      </w:r>
    </w:p>
    <w:p w:rsidR="003C4907" w:rsidRPr="004F171B" w:rsidRDefault="003C4907" w:rsidP="003C49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динамично развивается розничная торговля. В настоящее время функционируют 69 магазинов, включая отдельные торговые точки и 5 магазинов федеральных и региональных торговых сетей: «Магнит», Магнит «Косметик», «Пятерочка», «Светофор», «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Fix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price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C4907" w:rsidRPr="004F171B" w:rsidRDefault="003C4907" w:rsidP="003C49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ab/>
        <w:t xml:space="preserve">Оборот розничной торговли  за 2023 год составил 1026,4  млн. рублей, что на 114,8 % выше уровня 2022 года. За 6 месяцев 2024 года оборот розничной торговли составил 457,02 </w:t>
      </w:r>
      <w:proofErr w:type="spellStart"/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руб., что на 97,3% выше данного показателя за аналогичный  период предыдущего года.</w:t>
      </w:r>
    </w:p>
    <w:p w:rsidR="003C4907" w:rsidRDefault="003C4907" w:rsidP="003C49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 В структуре оборота розничной торговли 66,3 % составляет торговля пищевыми продуктами, включая напитки и табачными изделиями, 33,7 % - приходится на непродовольственные товары.</w:t>
      </w:r>
    </w:p>
    <w:p w:rsidR="003C4907" w:rsidRPr="004F171B" w:rsidRDefault="003C4907" w:rsidP="003C49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907" w:rsidRPr="004F171B" w:rsidRDefault="003C4907" w:rsidP="003C4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МП Новоржевского района «Энергоресурс»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единственное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ресурсоснабжающее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предприятие,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оказыва</w:t>
      </w:r>
      <w:r>
        <w:rPr>
          <w:rFonts w:ascii="Times New Roman" w:eastAsia="Times New Roman" w:hAnsi="Times New Roman" w:cs="Times New Roman"/>
          <w:sz w:val="28"/>
          <w:szCs w:val="28"/>
        </w:rPr>
        <w:t>ющее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услуги населению и организациям </w:t>
      </w:r>
      <w:r>
        <w:rPr>
          <w:rFonts w:ascii="Times New Roman" w:eastAsia="Times New Roman" w:hAnsi="Times New Roman" w:cs="Times New Roman"/>
          <w:sz w:val="28"/>
          <w:szCs w:val="28"/>
        </w:rPr>
        <w:t>округа  по отоплению, водоснабжению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водоотведению. Предприятие находится на стадии банкротства с 21 октября 2021 г.</w:t>
      </w:r>
    </w:p>
    <w:p w:rsidR="003C4907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2017 года управление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многоквартирными домами осуществляют  две организации: частная Управляющая компания ООО «Ремонтно-строительное предприятие» и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ное предприятие  «Энергоресурс»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обслуживан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2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 Ремонтно-строительное предприятие» находится 57 многоэтажных домов, на обслуживании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ное предприятие  «Энергоресурс» 9 многоквартирных домов.</w:t>
      </w:r>
    </w:p>
    <w:p w:rsidR="003C4907" w:rsidRPr="002277FE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907" w:rsidRPr="004F171B" w:rsidRDefault="003C4907" w:rsidP="003C4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мероприятий,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на эффективное социальное экономическое развитие  Новоржевского муниципального округа,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будет способствовать динамическому развитию и инфраструктуры и повышению уровня жизни населения.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В Прогнозе социально -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развития муниципального образования Новоржевский муниципальный округ Псковской области прослеживается несколько тенденций: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- сокращение численности населения, 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- увеличение средней заработной платы на протяжении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последних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лет,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- развитие торговли, обеспечение социальной стабильности.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В 2025-2027 годах продолжится решение следующих первоочередных задач: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F17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конкурентоспособности экономики округа за сче</w:t>
      </w:r>
      <w:proofErr w:type="gramStart"/>
      <w:r w:rsidRPr="004F171B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4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реализации инвестиционных проектов в перспективных секторах экономики, создания условий для развития малого и среднего бизнеса.</w:t>
      </w:r>
    </w:p>
    <w:p w:rsidR="003C4907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2. максимальное вовлечение в экономический оборот имеющегося ресурсного потенциала округа, повышение эффективности его использования.</w:t>
      </w:r>
    </w:p>
    <w:p w:rsidR="003C4907" w:rsidRPr="004F171B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Обновление материально техническая оснащенность муниципальных учреждений с целью повышения качества предоставляемых услуг.</w:t>
      </w:r>
    </w:p>
    <w:p w:rsidR="003C4907" w:rsidRPr="00A36009" w:rsidRDefault="003C4907" w:rsidP="003C4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. Обеспечение роста благосостояния и качества жизни населения за счет обеспечения допустимости качественного образования, медицинской помощи, повышения допустимости и качества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жилищно-коммунальных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услуг для населения, стимулирования экономической активности и повышения занятости населения, создание условий для улучшения доступа населения округа к культурным ценностям.</w:t>
      </w:r>
    </w:p>
    <w:p w:rsidR="003C4907" w:rsidRDefault="003C4907" w:rsidP="003C4907">
      <w:pPr>
        <w:ind w:firstLine="709"/>
      </w:pPr>
    </w:p>
    <w:p w:rsidR="00DC144B" w:rsidRDefault="00DC144B"/>
    <w:sectPr w:rsidR="00DC144B" w:rsidSect="00DD64A0">
      <w:headerReference w:type="firs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1B" w:rsidRDefault="003C4907">
    <w:pPr>
      <w:pStyle w:val="a3"/>
    </w:pPr>
  </w:p>
  <w:p w:rsidR="004F171B" w:rsidRDefault="003C49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907"/>
    <w:rsid w:val="003C4907"/>
    <w:rsid w:val="007546B4"/>
    <w:rsid w:val="00DC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4907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2931</Words>
  <Characters>16707</Characters>
  <Application>Microsoft Office Word</Application>
  <DocSecurity>0</DocSecurity>
  <Lines>139</Lines>
  <Paragraphs>39</Paragraphs>
  <ScaleCrop>false</ScaleCrop>
  <Company/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2024-10-09T12:02:00Z</dcterms:created>
  <dcterms:modified xsi:type="dcterms:W3CDTF">2024-10-09T12:06:00Z</dcterms:modified>
</cp:coreProperties>
</file>